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ab/>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306"/>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4820" cy="4319270"/>
                <wp:effectExtent l="0" t="0" r="6350" b="0"/>
                <wp:docPr id="1" name="Shape1"/>
                <a:graphic xmlns:a="http://schemas.openxmlformats.org/drawingml/2006/main">
                  <a:graphicData uri="http://schemas.microsoft.com/office/word/2010/wordprocessingShape">
                    <wps:wsp>
                      <wps:cNvSpPr/>
                      <wps:spPr>
                        <a:xfrm>
                          <a:off x="0" y="0"/>
                          <a:ext cx="554436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5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112"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cs=""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 w:cstheme="majorBidi"/>
        </w:rPr>
        <w:t xml:space="preserve">, </w:t>
      </w:r>
      <w:r>
        <w:rPr/>
      </w:r>
      <m:oMath xmlns:m="http://schemas.openxmlformats.org/officeDocument/2006/math"/>
      <w:r>
        <w:rPr>
          <w:rFonts w:cs=""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eastAsia="Calibri" w:cs="" w:asciiTheme="majorBidi" w:cstheme="majorBidi" w:hAnsiTheme="majorBidi"/>
          <w:b/>
          <w:b/>
          <w:bCs/>
        </w:rPr>
      </w:pPr>
      <w:r>
        <w:rPr>
          <w:rFonts w:eastAsia="Calibri" w:cs="" w:cstheme="majorBidi"/>
          <w:b/>
          <w:bCs/>
        </w:rPr>
        <w:t>Greek letters</w:t>
      </w:r>
    </w:p>
    <w:p>
      <w:pPr>
        <w:pStyle w:val="Normal"/>
        <w:ind w:right="1418" w:hanging="0"/>
        <w:rPr>
          <w:rFonts w:eastAsia="Calibri" w:cs="" w:asciiTheme="majorBidi" w:cstheme="majorBidi" w:hAnsiTheme="majorBidi"/>
        </w:rPr>
      </w:pPr>
      <w:r>
        <w:rPr>
          <w:rFonts w:eastAsia="Calibri" w:cs="" w:cstheme="majorBidi"/>
          <w:i/>
          <w:iCs/>
        </w:rPr>
        <w:t>φ</w:t>
      </w:r>
      <w:r>
        <w:rPr>
          <w:color w:val="000000" w:themeColor="text1"/>
        </w:rPr>
        <w:t xml:space="preserve">       </w:t>
      </w:r>
      <w:r>
        <w:rPr>
          <w:rFonts w:eastAsia="Calibri" w:cs="" w:cstheme="majorBidi"/>
        </w:rPr>
        <w:t>Nanoparticle volume fraction</w:t>
      </w:r>
    </w:p>
    <w:p>
      <w:pPr>
        <w:pStyle w:val="Normal"/>
        <w:ind w:right="1418" w:hanging="0"/>
        <w:rPr>
          <w:rFonts w:eastAsia="Calibri" w:cs="" w:asciiTheme="majorBidi" w:cstheme="majorBidi" w:hAnsiTheme="majorBidi"/>
        </w:rPr>
      </w:pPr>
      <w:r>
        <w:rPr>
          <w:rFonts w:eastAsia="Calibri" w:cs="" w:cstheme="majorBidi"/>
          <w:i/>
          <w:iCs/>
        </w:rPr>
        <w:t>β</w:t>
      </w:r>
      <w:r>
        <w:rPr>
          <w:color w:val="000000" w:themeColor="text1"/>
        </w:rPr>
        <w:t xml:space="preserve">       </w:t>
      </w:r>
      <w:r>
        <w:rPr>
          <w:rFonts w:eastAsia="Calibri" w:cs=""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eastAsia="Calibri" w:cs="" w:asciiTheme="majorBidi" w:cstheme="majorBidi" w:hAnsiTheme="majorBidi"/>
        </w:rPr>
      </w:pPr>
      <w:r>
        <w:rPr>
          <w:rFonts w:eastAsia="Calibri" w:cs="" w:cstheme="majorBidi"/>
          <w:i/>
          <w:iCs/>
        </w:rPr>
        <w:t>τ</w:t>
      </w:r>
      <w:r>
        <w:rPr>
          <w:color w:val="000000" w:themeColor="text1"/>
        </w:rPr>
        <w:t xml:space="preserve">       </w:t>
      </w:r>
      <w:r>
        <w:rPr>
          <w:rFonts w:eastAsia="Calibri" w:cs="" w:cstheme="majorBidi"/>
        </w:rPr>
        <w:t>Shear stress, Pa</w:t>
      </w:r>
    </w:p>
    <w:p>
      <w:pPr>
        <w:pStyle w:val="Normal"/>
        <w:ind w:right="1418" w:hanging="0"/>
        <w:rPr>
          <w:rFonts w:eastAsia="Calibri" w:cs="" w:asciiTheme="majorBidi" w:cstheme="majorBidi" w:hAnsiTheme="majorBidi"/>
        </w:rPr>
      </w:pPr>
      <w:r>
        <w:rPr>
          <w:rFonts w:eastAsia="Calibri" w:cs="" w:cstheme="majorBidi"/>
          <w:i/>
          <w:iCs/>
        </w:rPr>
        <w:t>ρ</w:t>
      </w:r>
      <w:r>
        <w:rPr>
          <w:color w:val="000000" w:themeColor="text1"/>
        </w:rPr>
        <w:t xml:space="preserve">       </w:t>
      </w:r>
      <w:r>
        <w:rPr>
          <w:rFonts w:eastAsia="Calibri" w:cs=""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eastAsia="Calibri" w:cs="" w:asciiTheme="majorBidi" w:cstheme="majorBidi" w:hAnsiTheme="majorBidi"/>
        </w:rPr>
      </w:pPr>
      <w:r>
        <w:rPr>
          <w:rFonts w:eastAsia="Calibri" w:cs="" w:cstheme="majorBidi"/>
          <w:i/>
          <w:iCs/>
        </w:rPr>
        <w:t xml:space="preserve">α </w:t>
      </w:r>
      <w:r>
        <w:rPr>
          <w:color w:val="000000" w:themeColor="text1"/>
        </w:rPr>
        <w:t xml:space="preserve">      </w:t>
      </w:r>
      <w:r>
        <w:rPr>
          <w:rFonts w:eastAsia="Calibri" w:cs=""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eastAsia="Calibri" w:cs="" w:asciiTheme="majorBidi" w:cstheme="majorBidi" w:hAnsiTheme="majorBidi"/>
        </w:rPr>
      </w:pPr>
      <w:r>
        <w:rPr>
          <w:rFonts w:eastAsia="Calibri" w:cs="" w:cstheme="majorBidi"/>
          <w:i/>
          <w:iCs/>
        </w:rPr>
        <w:t>µ</w:t>
      </w:r>
      <w:r>
        <w:rPr>
          <w:color w:val="000000" w:themeColor="text1"/>
        </w:rPr>
        <w:t xml:space="preserve">       </w:t>
      </w:r>
      <w:r>
        <w:rPr>
          <w:rFonts w:eastAsia="Calibri" w:cs=""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eastAsia="Calibri" w:cs="" w:asciiTheme="majorBidi" w:cstheme="majorBidi" w:hAnsiTheme="majorBidi"/>
        </w:rPr>
      </w:pPr>
      <w:r>
        <w:rPr>
          <w:rFonts w:eastAsia="Calibri" w:cs="" w:cstheme="majorBidi"/>
          <w:i/>
          <w:iCs/>
        </w:rPr>
        <w:t>Ѳ</w:t>
      </w:r>
      <w:r>
        <w:rPr>
          <w:color w:val="000000" w:themeColor="text1"/>
        </w:rPr>
        <w:t xml:space="preserve">       </w:t>
      </w:r>
      <w:r>
        <w:rPr>
          <w:rFonts w:eastAsia="Calibri" w:cs="" w:cstheme="majorBidi"/>
        </w:rPr>
        <w:t xml:space="preserve">Dimensionless temperature </w:t>
      </w:r>
    </w:p>
    <w:p>
      <w:pPr>
        <w:pStyle w:val="Normal"/>
        <w:ind w:right="1418" w:hanging="0"/>
        <w:rPr>
          <w:rFonts w:eastAsia="Calibri" w:cs=""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 w:cstheme="majorBidi"/>
        </w:rPr>
        <w:t>Velocity and thermal boundary-layer thickness, m</w:t>
      </w:r>
    </w:p>
    <w:p>
      <w:pPr>
        <w:pStyle w:val="Normal"/>
        <w:ind w:right="1418" w:hanging="0"/>
        <w:rPr>
          <w:rFonts w:eastAsia="Calibri" w:cs="" w:asciiTheme="majorBidi" w:cstheme="majorBidi" w:hAnsiTheme="majorBidi"/>
        </w:rPr>
      </w:pPr>
      <w:r>
        <w:rPr>
          <w:rFonts w:eastAsia="Calibri" w:cs="" w:cstheme="majorBidi"/>
          <w:i/>
          <w:iCs/>
        </w:rPr>
        <w:t>ψ</w:t>
      </w:r>
      <w:r>
        <w:rPr>
          <w:color w:val="000000" w:themeColor="text1"/>
        </w:rPr>
        <w:t xml:space="preserve">       </w:t>
      </w:r>
      <w:r>
        <w:rPr>
          <w:rFonts w:eastAsia="Calibri" w:cs="" w:cstheme="majorBidi"/>
        </w:rPr>
        <w:t>Dimensionless stream function</w:t>
      </w:r>
    </w:p>
    <w:p>
      <w:pPr>
        <w:pStyle w:val="Normal"/>
        <w:ind w:right="1418" w:hanging="0"/>
        <w:rPr>
          <w:rFonts w:eastAsia="Calibri" w:cs="" w:asciiTheme="majorBidi" w:cstheme="majorBidi" w:hAnsiTheme="majorBidi"/>
          <w:b/>
          <w:b/>
          <w:bCs/>
        </w:rPr>
      </w:pPr>
      <w:r>
        <w:rPr>
          <w:rFonts w:eastAsia="Calibri" w:cs="" w:cstheme="majorBidi"/>
          <w:b/>
          <w:bCs/>
        </w:rPr>
        <w:t>Greek letters</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 w:cstheme="majorBidi"/>
          <w:szCs w:val="22"/>
        </w:rPr>
        <w:t>cold</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 w:cstheme="majorBidi"/>
          <w:szCs w:val="22"/>
        </w:rPr>
        <w:t>hot</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 w:cstheme="majorBidi"/>
          <w:szCs w:val="22"/>
        </w:rPr>
        <w:t>effective</w:t>
      </w:r>
    </w:p>
    <w:p>
      <w:pPr>
        <w:pStyle w:val="Normal"/>
        <w:rPr>
          <w:rFonts w:eastAsia="Calibri" w:cs=""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appendix heat formula (1) transfer in square enclosures is largely used in numerous engineering applications such as heat exchangers, buildings, built-in-storage solar collectors and thermal management of electronics </w:t>
      </w:r>
      <w:sdt>
        <w:sdtPr>
          <w:id w:val="268131929"/>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459804893"/>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1856821403"/>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595260105"/>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44130276"/>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2023636815"/>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708787542"/>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552025522"/>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113568801"/>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1459460517"/>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2056938705"/>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1112321392"/>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1299816066"/>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834656609"/>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537038449"/>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1485749206"/>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541376781"/>
        </w:sdtPr>
        <w:sdtContent>
          <w:r>
            <w:rPr>
              <w:color w:val="000000"/>
              <w:szCs w:val="22"/>
            </w:rPr>
            <w:t>[</w:t>
          </w:r>
          <w:r>
            <w:rPr>
              <w:color w:val="5B9BD5" w:themeColor="accent5"/>
              <w:szCs w:val="22"/>
            </w:rPr>
            <w:t>29</w:t>
          </w:r>
          <w:r>
            <w:rPr>
              <w:color w:val="000000"/>
              <w:szCs w:val="22"/>
            </w:rPr>
            <w:t>,</w:t>
          </w:r>
        </w:sdtContent>
      </w:sdt>
      <w:sdt>
        <w:sdtPr>
          <w:id w:val="250687244"/>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628744589"/>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 xml:space="preserve">Some functions </w:t>
      </w:r>
      <w:r>
        <w:rPr>
          <w:b w:val="false"/>
          <w:color w:val="000000" w:themeColor="text1"/>
          <w:szCs w:val="22"/>
        </w:rPr>
        <w:t xml:space="preserve">DDA </w:t>
      </w:r>
      <w:r>
        <w:rPr>
          <w:b w:val="false"/>
          <w:color w:val="000000" w:themeColor="text1"/>
          <w:szCs w:val="22"/>
        </w:rPr>
        <w:t>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fals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fals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fals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fals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350365996"/>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405676019"/>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681718464"/>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1433517115"/>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632710886"/>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false"/>
        <w:spacing w:lineRule="auto" w:line="276" w:before="0" w:after="0"/>
        <w:textAlignment w:val="baseline"/>
        <w:rPr>
          <w:rFonts w:eastAsia="" w:cs=""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852638837"/>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981055317"/>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108"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eastAsia="" w:cs="" w:asciiTheme="majorBidi" w:cstheme="majorBidi" w:eastAsiaTheme="minorEastAsia" w:hAnsiTheme="majorBidi"/>
                <w:bCs/>
                <w:sz w:val="20"/>
              </w:rPr>
            </w:pPr>
            <w:r>
              <w:rPr>
                <w:rFonts w:eastAsia="" w:cs="" w:asciiTheme="majorBidi" w:cstheme="majorBidi" w:eastAsiaTheme="minorEastAsia" w:hAnsiTheme="majorBidi"/>
                <w:bCs/>
                <w:sz w:val="20"/>
              </w:rPr>
            </w:r>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eastAsia="" w:cs=""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eastAsia="" w:cs=""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eastAsia="" w:cs=""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fals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eastAsia="" w:cs=""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eastAsia="" w:cs=""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fals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 w:eastAsiaTheme="minorEastAsia"/>
          <w:kern w:val="2"/>
          <w:szCs w:val="22"/>
        </w:rPr>
        <w:t xml:space="preserve">in </w:t>
      </w:r>
      <w:r>
        <w:rPr>
          <w:rFonts w:eastAsia=""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false"/>
        <w:spacing w:before="0" w:after="0"/>
        <w:jc w:val="center"/>
        <w:textAlignment w:val="baseline"/>
        <w:rPr>
          <w:rFonts w:eastAsia="" w:cs="" w:asciiTheme="majorBidi" w:cstheme="majorBidi" w:eastAsiaTheme="minorEastAsia" w:hAnsiTheme="majorBidi"/>
        </w:rPr>
      </w:pPr>
      <w:r>
        <w:rPr>
          <w:rFonts w:eastAsia="" w:cs="" w:cstheme="majorBidi" w:eastAsiaTheme="minorEastAsia"/>
          <w:b/>
          <w:bCs/>
        </w:rPr>
        <w:t>Table 2:</w:t>
      </w:r>
      <w:r>
        <w:rPr>
          <w:rFonts w:eastAsia="" w:cs=""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 w:cs=""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 w:cs=""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 w:cs="" w:cstheme="majorBidi" w:eastAsiaTheme="minorEastAsia"/>
        </w:rPr>
        <w:t>.</w:t>
      </w:r>
    </w:p>
    <w:tbl>
      <w:tblPr>
        <w:tblStyle w:val="af2"/>
        <w:tblW w:w="4252" w:type="dxa"/>
        <w:jc w:val="left"/>
        <w:tblInd w:w="3117"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9.5760</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9.6617</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9.8318</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eastAsia="" w:cs="" w:asciiTheme="majorBidi" w:cstheme="majorBidi" w:eastAsiaTheme="minorEastAsia" w:hAnsiTheme="majorBidi"/>
                <w:sz w:val="20"/>
              </w:rPr>
            </w:pPr>
            <w:r>
              <w:rPr>
                <w:rFonts w:eastAsia="" w:cs=""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cs=""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 w:cstheme="majorBidi"/>
          <w:szCs w:val="22"/>
        </w:rPr>
        <w:t xml:space="preserve">The results of the current study align well with those of </w:t>
      </w:r>
      <w:r>
        <w:rPr>
          <w:rFonts w:eastAsia="Times New Roman"/>
          <w:kern w:val="2"/>
          <w:szCs w:val="22"/>
          <w:lang w:eastAsia="en-US"/>
        </w:rPr>
        <w:t>Ghasemi et al.,</w:t>
      </w:r>
      <w:r>
        <w:rPr>
          <w:rFonts w:cs=""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 w:cstheme="majorBidi"/>
          <w:szCs w:val="22"/>
        </w:rPr>
        <w:t>.</w:t>
      </w:r>
      <w:bookmarkStart w:id="8" w:name="_Hlk165367949"/>
      <w:bookmarkEnd w:id="8"/>
    </w:p>
    <w:p>
      <w:pPr>
        <w:pStyle w:val="Normal"/>
        <w:ind w:firstLine="440"/>
        <w:rPr>
          <w:rFonts w:cs="" w:asciiTheme="majorBidi" w:cstheme="majorBidi" w:hAnsiTheme="majorBidi"/>
          <w:szCs w:val="22"/>
        </w:rPr>
      </w:pPr>
      <w:r>
        <w:rPr>
          <w:rFonts w:cs=""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 w:cstheme="majorBidi"/>
          <w:szCs w:val="22"/>
        </w:rPr>
        <w:t xml:space="preserve"> is made among the current work and the one of Turan et al. </w:t>
      </w:r>
      <w:sdt>
        <w:sdtPr>
          <w:id w:val="1301728821"/>
        </w:sdtPr>
        <w:sdtContent>
          <w:r>
            <w:rPr>
              <w:rFonts w:cs="" w:cstheme="majorBidi"/>
              <w:color w:val="000000"/>
              <w:szCs w:val="22"/>
            </w:rPr>
            <w:t>[</w:t>
          </w:r>
          <w:r>
            <w:rPr>
              <w:rFonts w:cs="" w:cstheme="majorBidi"/>
              <w:color w:val="5B9BD5" w:themeColor="accent5"/>
              <w:szCs w:val="22"/>
            </w:rPr>
            <w:t>18</w:t>
          </w:r>
          <w:r>
            <w:rPr>
              <w:rFonts w:cs="" w:cstheme="majorBidi"/>
              <w:color w:val="000000"/>
              <w:szCs w:val="22"/>
            </w:rPr>
            <w:t>]</w:t>
          </w:r>
        </w:sdtContent>
      </w:sdt>
      <w:r>
        <w:rPr>
          <w:rFonts w:cs="" w:cstheme="majorBidi"/>
          <w:color w:val="000000"/>
          <w:szCs w:val="22"/>
        </w:rPr>
        <w:t xml:space="preserve"> for </w:t>
      </w:r>
      <w:r>
        <w:rPr>
          <w:rFonts w:cs=""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 w:cs=""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 w:cs="" w:cstheme="majorBidi" w:eastAsiaTheme="minorEastAsia"/>
        </w:rPr>
        <w:t xml:space="preserve"> is represented in </w:t>
      </w:r>
      <w:r>
        <w:rPr>
          <w:rFonts w:eastAsia="" w:cs="" w:cstheme="majorBidi" w:eastAsiaTheme="minorEastAsia"/>
          <w:color w:val="5B9BD5" w:themeColor="accent5"/>
        </w:rPr>
        <w:t>Table 3</w:t>
      </w:r>
      <w:r>
        <w:rPr>
          <w:rFonts w:eastAsia="" w:cs="" w:cstheme="majorBidi" w:eastAsiaTheme="minorEastAsia"/>
        </w:rPr>
        <w:t xml:space="preserve">. The results agree well with those </w:t>
      </w:r>
      <w:r>
        <w:rPr>
          <w:rFonts w:cs="" w:cstheme="majorBidi"/>
          <w:szCs w:val="22"/>
        </w:rPr>
        <w:t xml:space="preserve">of Turan et al. </w:t>
      </w:r>
      <w:sdt>
        <w:sdtPr>
          <w:id w:val="1856876947"/>
        </w:sdtPr>
        <w:sdtContent>
          <w:r>
            <w:rPr>
              <w:rFonts w:cs="" w:cstheme="majorBidi"/>
              <w:color w:val="000000"/>
              <w:szCs w:val="22"/>
            </w:rPr>
            <w:t>[</w:t>
          </w:r>
          <w:r>
            <w:rPr>
              <w:rFonts w:cs="" w:cstheme="majorBidi"/>
              <w:color w:val="5B9BD5" w:themeColor="accent5"/>
              <w:szCs w:val="22"/>
            </w:rPr>
            <w:t>18</w:t>
          </w:r>
          <w:r>
            <w:rPr>
              <w:rFonts w:cs="" w:cstheme="majorBidi"/>
              <w:color w:val="000000"/>
              <w:szCs w:val="22"/>
            </w:rPr>
            <w:t>]</w:t>
          </w:r>
        </w:sdtContent>
      </w:sdt>
      <w:r>
        <w:rPr>
          <w:rFonts w:cs="" w:cstheme="majorBidi"/>
          <w:szCs w:val="22"/>
        </w:rPr>
        <w:t xml:space="preserve">, </w:t>
      </w:r>
      <w:r>
        <w:rPr>
          <w:rFonts w:cs=""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rFonts w:cs="" w:asciiTheme="majorBidi" w:cstheme="majorBidi" w:hAnsi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cs=""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eastAsia="Times New Roman" w:cs=""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 w:cstheme="majorBidi"/>
          <w:b/>
          <w:bCs/>
          <w:kern w:val="2"/>
          <w:szCs w:val="22"/>
          <w:lang w:eastAsia="en-US"/>
        </w:rPr>
        <w:t xml:space="preserve"> </w:t>
      </w:r>
      <w:r>
        <w:rPr>
          <w:rFonts w:eastAsia="Times New Roman" w:cs="" w:cstheme="majorBidi"/>
          <w:kern w:val="2"/>
          <w:szCs w:val="22"/>
          <w:lang w:eastAsia="en-US"/>
        </w:rPr>
        <w:t xml:space="preserve">streamlines (left) and the isotherms (right) of the current study for.sfjghigu.gvug.12.4.ff. </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108"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 w:cs="" w:cstheme="majorBidi" w:eastAsiaTheme="minorEastAsia"/>
                <w:sz w:val="20"/>
              </w:rPr>
              <w:t xml:space="preserve">Turan et al. </w:t>
            </w:r>
            <w:sdt>
              <w:sdtPr>
                <w:id w:val="268779541"/>
              </w:sdtPr>
              <w:sdtContent>
                <w:r>
                  <w:rPr>
                    <w:rFonts w:eastAsia="" w:cs=""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eastAsia="" w:cs="" w:asciiTheme="majorBidi" w:cstheme="majorBidi" w:eastAsiaTheme="minorEastAsia" w:hAnsiTheme="majorBidi"/>
                <w:sz w:val="20"/>
              </w:rPr>
            </w:pPr>
            <w:r>
              <w:rPr>
                <w:rFonts w:eastAsia="" w:cs="" w:asciiTheme="majorBidi" w:cstheme="majorBidi" w:eastAsiaTheme="minorEastAsia" w:hAnsiTheme="majorBidi"/>
                <w:sz w:val="20"/>
              </w:rPr>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 w:cs=""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 w:cs=""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 w:cs=""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eastAsia="" w:cs="" w:asciiTheme="majorBidi" w:cstheme="majorBidi" w:eastAsiaTheme="minorEastAsia" w:hAnsiTheme="majorBidi"/>
                <w:sz w:val="20"/>
              </w:rPr>
            </w:pPr>
            <w:r>
              <w:rPr>
                <w:rFonts w:eastAsia="" w:cs=""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eastAsia="" w:cs="" w:asciiTheme="majorBidi" w:cstheme="majorBidi" w:eastAsiaTheme="minorEastAsia" w:hAnsiTheme="majorBidi"/>
                <w:sz w:val="20"/>
              </w:rPr>
            </w:pPr>
            <w:r>
              <w:rPr>
                <w:rFonts w:eastAsia="" w:cs=""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eastAsia="" w:cs="" w:asciiTheme="majorBidi" w:cstheme="majorBidi" w:eastAsiaTheme="minorEastAsia" w:hAnsiTheme="majorBidi"/>
                <w:sz w:val="20"/>
              </w:rPr>
            </w:pPr>
            <w:r>
              <w:rPr>
                <w:rFonts w:eastAsia="" w:cs="" w:asciiTheme="majorBidi" w:cstheme="majorBidi" w:eastAsiaTheme="minorEastAsia" w:hAnsiTheme="majorBidi"/>
                <w:sz w:val="20"/>
              </w:rPr>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 w:cs="" w:cstheme="majorBidi" w:eastAsiaTheme="minorEastAsia"/>
                <w:sz w:val="20"/>
              </w:rPr>
              <w:t>33.940</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 w:cs="" w:cstheme="majorBidi" w:eastAsiaTheme="minorEastAsia"/>
                <w:sz w:val="20"/>
              </w:rPr>
              <w:t>9.2497</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 w:cs=""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306"/>
                <w:tab w:val="left" w:pos="2727" w:leader="none"/>
              </w:tabs>
              <w:spacing w:before="0" w:after="60"/>
              <w:rPr>
                <w:rFonts w:eastAsia=""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306"/>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p>
    <w:p>
      <w:pPr>
        <w:pStyle w:val="Keyword"/>
        <w:widowControl w:val="false"/>
        <w:snapToGrid w:val="false"/>
        <w:spacing w:before="312" w:after="60"/>
        <w:rPr>
          <w:color w:val="000000" w:themeColor="text1"/>
          <w:szCs w:val="22"/>
        </w:rPr>
      </w:pPr>
      <w:r>
        <w:rPr>
          <w:b/>
          <w:bCs/>
          <w:iCs/>
          <w:color w:val="000000" w:themeColor="text1"/>
          <w:szCs w:val="22"/>
        </w:rPr>
        <w:t xml:space="preserve">Conflicts of Interest: </w:t>
      </w:r>
      <w:r>
        <w:rPr>
          <w:iCs/>
          <w:color w:val="000000" w:themeColor="text1"/>
          <w:szCs w:val="22"/>
        </w:rPr>
        <w:t>The authors declare that they have no conflicts of interest to report regarding the present study.</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color w:val="000000" w:themeColor="text1"/>
          <w:szCs w:val="22"/>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14</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15</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500"/>
    <w:bookmarkStart w:id="13" w:name="_Hlk165292718"/>
    <w:bookmarkStart w:id="14" w:name="_Hlk165292719"/>
    <w:bookmarkStart w:id="15" w:name="_Hlk16529249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306"/>
  <w:compat>
    <w:doNotExpandShiftReturn/>
  </w:compat>
  <w:autoHyphenation w:val="true"/>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 w:cs=""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 w:cs=""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306"/>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306"/>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306"/>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306"/>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3269</TotalTime>
  <Application>LibreOffice/6.4.7.2$Linux_X86_64 LibreOffice_project/40$Build-2</Application>
  <Pages>17</Pages>
  <Words>4515</Words>
  <Characters>25759</Characters>
  <CharactersWithSpaces>30544</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2024-07-08T15:06:17Z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